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168</w:t>
      </w:r>
    </w:p>
    <w:p>
      <w:r>
        <w:t>Bundesgericht (BGE), 1983-07-18, IT</w:t>
      </w:r>
    </w:p>
    <w:p>
      <w:r>
        <w:rPr>
          <w:b/>
        </w:rPr>
        <w:t xml:space="preserve">Quelle: </w:t>
      </w:r>
      <w:r>
        <w:t>https://mcp.opencaselaw.ch/entscheid/bge_109 IV 168</w:t>
      </w:r>
    </w:p>
    <w:p>
      <w:r>
        <w:t>FR: ATF 109 IV 168</w:t>
      </w:r>
    </w:p>
    <w:p>
      <w:r>
        <w:t>IT: DTF 109 IV 168</w:t>
      </w:r>
    </w:p>
    <w:p>
      <w:pPr>
        <w:pStyle w:val="Heading2"/>
      </w:pPr>
      <w:r>
        <w:t>Regeste</w:t>
      </w:r>
    </w:p>
    <w:p>
      <w:r>
        <w:t>Regeste Art. 314 StGB. Ungetreue Amtsführung im Rahmen eines Submissionsverfahrens. Tat eines Gemeinderatsmitglieds, das als Inhaber der Hälfte des Aktienkapitals eines an einem Submissionsverfahren teilnehmenden Unternehmens ein den Vertragsbedingungen nicht entsprechendes Angebot einreicht und auf diese Weise, ohne die übrigen Mitglieder des Gemeinderates auf die ihnen entgangene Abweichung aufmerksam gemacht zu haben, den Zuschlag erhält. Die Gleichwertigkeit von angebotener und erbrachter Leistung schliesst die Widerrechtlichkeit der Tat nicht aus; der dazu gehörende Schaden entspricht der verschwiegenen Divergenz zwischen der angebotenen (und erbrachten) Leistung einerseits und der gemäss den Vertragsbedingungen gewünschten Leistung andererseits (E. 1-2). Die Pflichten eines Behördenmitglieds bei der Teilnahme an einer Sitzung, deren Verhandlungsgegenstand seine privaten Interessen betrifft, werden durch das kantonale Recht geregelt (E. 3). Zur Erfüllung des Tatbestandes von Art. 314 StGB genügt es, dass die Wahrung der öffentlichen Interessen im Submissionsverfahren in irgendeinem Stadium desselben unterblieb (E. 4).</w:t>
      </w:r>
    </w:p>
    <w:p>
      <w:pPr>
        <w:pStyle w:val="Heading2"/>
      </w:pPr>
      <w:r>
        <w:t>Erwägungen</w:t>
      </w:r>
    </w:p>
    <w:p>
      <w:r>
        <w:rPr>
          <w:b/>
        </w:rPr>
        <w:t>E. 1</w:t>
      </w:r>
    </w:p>
    <w:p>
      <w:r>
        <w:t>Si rende colpevole ai sensi dell' art. 314 CP d'infedeltà nella gestione pubblica chi, quale membro di un'autorità o quale funzionario, al fine di procurare a sé o ad altri un ingiusto profitto, reca danno in un negozio giuridico agli interessi pubblici che doveva salvaguardare. Come rilevato dalla giurisprudenza del Tribunale federale, per ammettere l'infedeltà occorre che tali interessi, i quali possono essere di natura finanziaria o ideale, siano danneggiati mediante il negozio e i suoi effetti giuridici ( DTF 101 IV 411 consid. 2).</w:t>
      </w:r>
    </w:p>
    <w:p>
      <w:r>
        <w:rPr>
          <w:b/>
        </w:rPr>
        <w:t>E. 2</w:t>
      </w:r>
    </w:p>
    <w:p>
      <w:r>
        <w:t>Nella fattispecie la CCRP ha ravvisato il danno subito dal Comune di B. nel fatto che quest'ultimo poteva attendersi, in base all'appalto delle opere sanitarie da esso aperto e dell'offerta presentata dalla ditta C. &amp;amp; A. S.A., che detta impresa avrebbe in caso di aggiudicazione dei lavori, fornito ed installato, conformemente al capitolato, tubi senza saldatura, ma che l'impresa stessa aveva invece fornito ed utilizzato tubi con saldatura, di minor prezzo e di minor valore. La CCRP ha applicato al proposito in via analogica i principi relativi alla nozione di danno quali stabiliti dalla giurisprudenza del Tribunale federale con riferimento all' art. 148 CP . Secondo tale giurisprudenza, un danno patrimoniale è possibile anche laddove la prestazione e la controprestazione a carico delle parti del negozio giuridico siano equivalenti, ma si trovino per la parte vittima dell'inganno in una relazione di valore meno favorevole di quella che le è fatta credere con l'affermazione di cose false o con la dissimulazione di cose vere o con l'utilizzazione dell'errore in cui versava la vittima stessa ( DTF 100 IV 276 consid. 3 e richiami). Questo modo di procedere della CCRP non è censurabile, contrariamente a quanto ritiene il ricorrente. Anche se quest'ultimo non avesse, quale rappresentante della ditta C. &amp;amp; A. S.A., promesso con l'offerta da lui BGE 109 IV 168 S. 171 fatta una prestazione di maggior valore di quella realmente fornita, egli ha nondimeno, discostandosi dal capitolato (che prevedeva per le opere sanitarie tubi senza saldatura), indotto in errore gli altri municipali, e li ha inoltre mantenuti in tale errore durante la deliberazione concernente l'aggiudicazione dell'appalto alla sua ditta, omettendo di segnalar loro la discrepanza esistente tra l'offerta e il capitolato, ossia venendo meno a un dovere al quale egli era tenuto nella sua qualità di municipale, secondo l'interpretazione vincolante del diritto cantonale effettuata dalla CCRP. Ciò ha avuto come conseguenza che il Municipio ha aggiudicato i lavori alla ditta C. &amp;amp; A. S.A. nella convinzione che sarebbero stati forniti al prezzo proposto per tubi senza saldatura, mentre in realtà il Comune otteneva tubi con saldatura, di minor valore. L'eccezione sollevata dal ricorrente, secondo cui non sussiste sul piano tecnico una differenza di qualità tra tubi con e tubi senza saldatura, concerne una questione di fatto che, come rilevato nella sentenza pronunciata dal Tribunale federale sul ricorso di diritto pubblico, è stata risolta dalla CCRP senza arbitrio in senso contrario alla tesi del ricorrente. Tale punto non può più essere nuovamente evocato in sede di ricorso per cassazione.</w:t>
      </w:r>
    </w:p>
    <w:p>
      <w:r>
        <w:rPr>
          <w:b/>
        </w:rPr>
        <w:t>E. 3</w:t>
      </w:r>
    </w:p>
    <w:p>
      <w:r>
        <w:t>Il ricorrente contesta poi una gestione infedele da parte sua, adducendo gli art. 79 e 80 della legge organica comunale (LOC); secondo l'art. 79 LOC, egli non avrebbe potuto essere presente alla deliberazione dell'esecutivo comunale, stante la collisione d'interessi esistente in ragione dell'offerta della C. &amp;. A. S.A.; avrebbe dovuto spossessarsi delle proprie funzioni ed assumere, relativamente all'oggetto in discussione, il ruolo di un privato cittadino. Tale argomentazione è priva di pregio, perché trascura quanto accertato dalla CCRP nella decisione impugnata, ossia che il ricorrente ha partecipato alla seduta del Municipio in cui è stata discussa l'offerta della C. &amp;amp; A. S.A. ed ha omesso di attirare l'attenzione degli altri municipali sull'irregolarità di tale offerta, contravvenendo così al suo obbligo di municipale di salvaguardare gli interessi pubblici nella procedura d'appalto. Ciò può significare soltanto che il ricorrente ha preso parte alla seduta non quale privato, bensì quale municipale, e che in tale sua qualità gli incombeva l'obbligo di ovviare all'errore in cui gli altri municipali versavano circa l'offerta di cui trattasi. La questione se una persona che partecipi ad una seduta del municipio lo faccia a titolo BGE 109 IV 168 S. 172 privato o quale municipale e a quali obblighi essa sia tenuta in quest'ultima qualità, non va decisa alla stregua del diritto federale, bensì di quello cantonale (cfr. DTF 108 IV 96 consid. 2a); tale diritto è d'altronde richiamato al proposito dalla CCRP, che menziona espressamente l'art. 80 LOC. L'interpretazione del diritto cantonale da parte del giudice cantonale è vincolante per il Tribunale federale in sede di giudizio su un ricorso per cassazione ( art. 273 cpv. 1 lett. b PP ), di guisa che le censure ricorsuali fondate sugli art. 79 e 80 LOC e su accertamenti della CCRP che divergono da quanto presupposto nel gravame non possono essere udite nella presente procedura.</w:t>
      </w:r>
    </w:p>
    <w:p>
      <w:r>
        <w:rPr>
          <w:b/>
        </w:rPr>
        <w:t>E. 4</w:t>
      </w:r>
    </w:p>
    <w:p>
      <w:r>
        <w:t>Ai fini del giudizio è infine irrilevante che il ricorrente abbia preso parte solo alla deliberazione dell'esecutivo comunale relativo all'offerta della ditta C. &amp;amp; A. S.A., non invece alla votazione concernente l'aggiudicazione delle opere sanitarie a tale ditta. Secondo la sentenza impugnata, il ricorrente che, come sopra osservato, aveva partecipato alla seduta quale municipale, era tenuto a dissipare l'errore in cui la sua offerta - quanto meno divergente dal capitolato - aveva indotto gli altri municipali. Tale suo dovere sussisteva indipendentemente dal fatto che egli avesse o non avesse partecipato alla votazione. Come risulta chiaramente da DTF 101 IV 412 consid. 3a, perché sia realizzato il reato di cui all' art. 314 CP , è sufficiente che il membro dell'autorità abbia danneggiato gli interessi che doveva salvaguardare nel corso della procedura d'appalto. Priva d'importanza è la fase della procedura in cui l'infedeltà ha luogo. Determinante è nella fattispecie che il ricorrente, mediante il suo comportamento contrario ai doveri incombentigli quale municipale nel corso della procedura di appalto, ha indotto gli altri membri del Municipio di B. a concludere il negozio giuridico dannoso per gli interessi comunali.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